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overflowPunct w:val="0"/>
        <w:autoSpaceDE w:val="0"/>
        <w:autoSpaceDN w:val="0"/>
        <w:adjustRightInd w:val="0"/>
        <w:spacing w:line="274" w:lineRule="atLeast"/>
        <w:ind w:right="486"/>
        <w:jc w:val="righ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ajorEastAsia" w:hAnsiTheme="majorEastAsia" w:eastAsiaTheme="majorEastAsia"/>
          <w:color w:val="000000"/>
          <w:spacing w:val="16"/>
          <w:kern w:val="0"/>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中小企業信用保険法第２条第５項第４号認定申請書添付書類</w:t>
      </w:r>
      <w:bookmarkStart w:id="0" w:name="_GoBack"/>
      <w:bookmarkEnd w:id="0"/>
    </w:p>
    <w:p>
      <w:pPr>
        <w:pStyle w:val="0"/>
        <w:suppressAutoHyphens w:val="1"/>
        <w:kinsoku w:val="0"/>
        <w:wordWrap w:val="0"/>
        <w:overflowPunct w:val="0"/>
        <w:autoSpaceDE w:val="0"/>
        <w:autoSpaceDN w:val="0"/>
        <w:adjustRightInd w:val="0"/>
        <w:spacing w:line="274" w:lineRule="atLeast"/>
        <w:ind w:firstLine="227" w:firstLineChars="100"/>
        <w:jc w:val="left"/>
        <w:textAlignment w:val="baseline"/>
        <w:rPr>
          <w:rFonts w:hint="default"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74" w:lineRule="atLeast"/>
        <w:ind w:firstLine="227" w:firstLineChars="1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大崎町長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住　所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氏　名　　　　　　　　　　　　　</w:t>
      </w:r>
      <w:r>
        <w:rPr>
          <w:rFonts w:hint="eastAsia"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印</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p>
      <w:pPr>
        <w:pStyle w:val="0"/>
        <w:jc w:val="left"/>
        <w:rPr>
          <w:rFonts w:hint="default" w:asciiTheme="majorEastAsia" w:hAnsiTheme="majorEastAsia" w:eastAsiaTheme="majorEastAsia"/>
        </w:rPr>
      </w:pPr>
      <w:r>
        <w:rPr>
          <w:rFonts w:hint="eastAsia" w:asciiTheme="majorEastAsia" w:hAnsiTheme="majorEastAsia" w:eastAsiaTheme="majorEastAsia"/>
        </w:rPr>
        <w:t>　以下に転記の売上高等金額及びそれを証明する資料に相違はありません。</w:t>
      </w:r>
    </w:p>
    <w:p>
      <w:pPr>
        <w:pStyle w:val="0"/>
        <w:rPr>
          <w:rFonts w:hint="default" w:asciiTheme="majorEastAsia" w:hAnsiTheme="majorEastAsia" w:eastAsiaTheme="majorEastAsia"/>
        </w:rPr>
      </w:pPr>
      <w:r>
        <w:rPr>
          <w:rFonts w:hint="eastAsia" w:asciiTheme="majorEastAsia" w:hAnsiTheme="majorEastAsia" w:eastAsiaTheme="majorEastAsia"/>
        </w:rPr>
        <w:t>１　最近１箇月間の売上高について</w:t>
      </w:r>
    </w:p>
    <w:p>
      <w:pPr>
        <w:pStyle w:val="0"/>
        <w:numPr>
          <w:ilvl w:val="1"/>
          <w:numId w:val="1"/>
        </w:numPr>
        <w:jc w:val="left"/>
        <w:rPr>
          <w:rFonts w:hint="default" w:asciiTheme="majorEastAsia" w:hAnsiTheme="majorEastAsia" w:eastAsiaTheme="majorEastAsia"/>
        </w:rPr>
      </w:pPr>
      <w:r>
        <w:rPr>
          <w:rFonts w:hint="eastAsia" w:asciiTheme="majorEastAsia" w:hAnsiTheme="majorEastAsia" w:eastAsiaTheme="majorEastAsia"/>
        </w:rPr>
        <w:t>最近１箇月間の売上高について　　　　　　　　　　　　　　　（単位：千円）</w:t>
      </w:r>
    </w:p>
    <w:tbl>
      <w:tblPr>
        <w:tblStyle w:val="19"/>
        <w:tblW w:w="8506" w:type="dxa"/>
        <w:tblInd w:w="420" w:type="dxa"/>
        <w:tblLayout w:type="fixed"/>
        <w:tblLook w:firstRow="1" w:lastRow="0" w:firstColumn="1" w:lastColumn="0" w:noHBand="0" w:noVBand="1" w:val="04A0"/>
      </w:tblPr>
      <w:tblGrid>
        <w:gridCol w:w="2977"/>
        <w:gridCol w:w="5529"/>
      </w:tblGrid>
      <w:tr>
        <w:trPr/>
        <w:tc>
          <w:tcPr>
            <w:tcW w:w="2977" w:type="dxa"/>
            <w:vMerge w:val="restart"/>
            <w:vAlign w:val="top"/>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最近の売上高（実績）</w:t>
            </w:r>
          </w:p>
        </w:tc>
        <w:tc>
          <w:tcPr>
            <w:tcW w:w="5529" w:type="dxa"/>
            <w:vAlign w:val="top"/>
          </w:tcPr>
          <w:p>
            <w:pPr>
              <w:pStyle w:val="0"/>
              <w:ind w:firstLine="2041" w:firstLineChars="900"/>
              <w:rPr>
                <w:rFonts w:hint="default" w:asciiTheme="majorEastAsia" w:hAnsiTheme="majorEastAsia" w:eastAsiaTheme="majorEastAsia"/>
              </w:rPr>
            </w:pPr>
            <w:r>
              <w:rPr>
                <w:rFonts w:hint="eastAsia" w:asciiTheme="majorEastAsia" w:hAnsiTheme="majorEastAsia" w:eastAsiaTheme="majorEastAsia"/>
              </w:rPr>
              <w:t>　年　　　　　月</w:t>
            </w:r>
          </w:p>
        </w:tc>
      </w:tr>
      <w:tr>
        <w:trPr/>
        <w:tc>
          <w:tcPr>
            <w:tcW w:w="2977" w:type="dxa"/>
            <w:vMerge w:val="continue"/>
            <w:vAlign w:val="top"/>
          </w:tcPr>
          <w:p>
            <w:pPr>
              <w:pStyle w:val="0"/>
              <w:rPr>
                <w:rFonts w:hint="default" w:asciiTheme="majorEastAsia" w:hAnsiTheme="majorEastAsia" w:eastAsiaTheme="majorEastAsia"/>
              </w:rPr>
            </w:pPr>
          </w:p>
        </w:tc>
        <w:tc>
          <w:tcPr>
            <w:tcW w:w="552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　　　　　　　　　　　　　　　　　　　千円【Ａ】</w:t>
            </w:r>
          </w:p>
        </w:tc>
      </w:tr>
    </w:tbl>
    <w:p>
      <w:pPr>
        <w:pStyle w:val="0"/>
        <w:ind w:left="420"/>
        <w:rPr>
          <w:rFonts w:hint="default" w:asciiTheme="majorEastAsia" w:hAnsiTheme="majorEastAsia" w:eastAsiaTheme="majorEastAsia"/>
        </w:rPr>
      </w:pPr>
    </w:p>
    <w:p>
      <w:pPr>
        <w:pStyle w:val="0"/>
        <w:numPr>
          <w:ilvl w:val="1"/>
          <w:numId w:val="1"/>
        </w:numPr>
        <w:rPr>
          <w:rFonts w:hint="default" w:asciiTheme="majorEastAsia" w:hAnsiTheme="majorEastAsia" w:eastAsiaTheme="majorEastAsia"/>
        </w:rPr>
      </w:pPr>
      <w:r>
        <w:rPr>
          <w:rFonts w:hint="eastAsia" w:asciiTheme="majorEastAsia" w:hAnsiTheme="majorEastAsia" w:eastAsiaTheme="majorEastAsia"/>
        </w:rPr>
        <w:t>上記の期間に対応する前年１箇月間の売上高　　　　　　　　　（単位：千円）</w:t>
      </w:r>
    </w:p>
    <w:tbl>
      <w:tblPr>
        <w:tblStyle w:val="19"/>
        <w:tblW w:w="8506" w:type="dxa"/>
        <w:tblInd w:w="420" w:type="dxa"/>
        <w:tblLayout w:type="fixed"/>
        <w:tblLook w:firstRow="1" w:lastRow="0" w:firstColumn="1" w:lastColumn="0" w:noHBand="0" w:noVBand="1" w:val="04A0"/>
      </w:tblPr>
      <w:tblGrid>
        <w:gridCol w:w="2977"/>
        <w:gridCol w:w="5529"/>
      </w:tblGrid>
      <w:tr>
        <w:trPr/>
        <w:tc>
          <w:tcPr>
            <w:tcW w:w="2977" w:type="dxa"/>
            <w:vMerge w:val="restart"/>
            <w:vAlign w:val="top"/>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前年同月の売上高（実績）</w:t>
            </w:r>
          </w:p>
        </w:tc>
        <w:tc>
          <w:tcPr>
            <w:tcW w:w="5529" w:type="dxa"/>
            <w:vAlign w:val="top"/>
          </w:tcPr>
          <w:p>
            <w:pPr>
              <w:pStyle w:val="0"/>
              <w:ind w:firstLine="2041" w:firstLineChars="900"/>
              <w:rPr>
                <w:rFonts w:hint="default" w:asciiTheme="majorEastAsia" w:hAnsiTheme="majorEastAsia" w:eastAsiaTheme="majorEastAsia"/>
              </w:rPr>
            </w:pPr>
            <w:r>
              <w:rPr>
                <w:rFonts w:hint="eastAsia" w:asciiTheme="majorEastAsia" w:hAnsiTheme="majorEastAsia" w:eastAsiaTheme="majorEastAsia"/>
              </w:rPr>
              <w:t>　年　　　　　月</w:t>
            </w:r>
          </w:p>
        </w:tc>
      </w:tr>
      <w:tr>
        <w:trPr/>
        <w:tc>
          <w:tcPr>
            <w:tcW w:w="2977" w:type="dxa"/>
            <w:vMerge w:val="continue"/>
            <w:vAlign w:val="top"/>
          </w:tcPr>
          <w:p>
            <w:pPr>
              <w:pStyle w:val="0"/>
              <w:rPr>
                <w:rFonts w:hint="default" w:asciiTheme="majorEastAsia" w:hAnsiTheme="majorEastAsia" w:eastAsiaTheme="majorEastAsia"/>
              </w:rPr>
            </w:pPr>
          </w:p>
        </w:tc>
        <w:tc>
          <w:tcPr>
            <w:tcW w:w="5529"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　　　　　　　　　　　　　　　　　　　千円【Ｂ】</w:t>
            </w:r>
          </w:p>
        </w:tc>
      </w:tr>
    </w:tbl>
    <w:p>
      <w:pPr>
        <w:pStyle w:val="0"/>
        <w:ind w:left="420"/>
        <w:rPr>
          <w:rFonts w:hint="default" w:asciiTheme="majorEastAsia" w:hAnsiTheme="majorEastAsia" w:eastAsiaTheme="majorEastAsia"/>
        </w:rPr>
      </w:pPr>
    </w:p>
    <w:p>
      <w:pPr>
        <w:pStyle w:val="0"/>
        <w:numPr>
          <w:ilvl w:val="1"/>
          <w:numId w:val="1"/>
        </w:numPr>
        <w:rPr>
          <w:rFonts w:hint="default" w:asciiTheme="majorEastAsia" w:hAnsiTheme="majorEastAsia" w:eastAsiaTheme="majorEastAsia"/>
        </w:rPr>
      </w:pPr>
      <w:r>
        <w:rPr>
          <w:rFonts w:hint="eastAsia" w:asciiTheme="majorEastAsia" w:hAnsiTheme="majorEastAsia" w:eastAsiaTheme="majorEastAsia"/>
        </w:rPr>
        <w:t>最近１箇月間の売上高等の実績減少率</w:t>
      </w:r>
    </w:p>
    <w:p>
      <w:pPr>
        <w:pStyle w:val="0"/>
        <w:ind w:firstLine="453" w:firstLineChars="200"/>
        <w:rPr>
          <w:rFonts w:hint="default" w:asciiTheme="majorEastAsia" w:hAnsiTheme="majorEastAsia" w:eastAsiaTheme="majorEastAsia"/>
        </w:rPr>
      </w:pPr>
      <w:r>
        <w:rPr>
          <w:rFonts w:hint="eastAsia" w:asciiTheme="majorEastAsia" w:hAnsiTheme="majorEastAsia" w:eastAsiaTheme="majorEastAsia"/>
        </w:rPr>
        <w:t>（　Ｂ</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Ａ　）</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Ｂ</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１００</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eastAsia" w:asciiTheme="majorEastAsia" w:hAnsiTheme="majorEastAsia" w:eastAsiaTheme="majorEastAsia"/>
          <w:u w:val="single" w:color="auto"/>
        </w:rPr>
        <w:t>　　　　　％</w:t>
      </w:r>
      <w:r>
        <w:rPr>
          <w:rFonts w:hint="eastAsia" w:asciiTheme="majorEastAsia" w:hAnsiTheme="majorEastAsia" w:eastAsiaTheme="majorEastAsia"/>
        </w:rPr>
        <w:t>≧２０．０％</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　１の期間後２箇月間の見込売上高について</w:t>
      </w:r>
    </w:p>
    <w:p>
      <w:pPr>
        <w:pStyle w:val="0"/>
        <w:numPr>
          <w:ilvl w:val="0"/>
          <w:numId w:val="2"/>
        </w:numPr>
        <w:jc w:val="left"/>
        <w:rPr>
          <w:rFonts w:hint="default" w:asciiTheme="majorEastAsia" w:hAnsiTheme="majorEastAsia" w:eastAsiaTheme="majorEastAsia"/>
        </w:rPr>
      </w:pPr>
      <w:r>
        <w:rPr>
          <w:rFonts w:hint="eastAsia" w:asciiTheme="majorEastAsia" w:hAnsiTheme="majorEastAsia" w:eastAsiaTheme="majorEastAsia"/>
        </w:rPr>
        <w:t>１の</w:t>
      </w:r>
      <w:r>
        <w:rPr>
          <w:rFonts w:hint="default" w:asciiTheme="majorEastAsia" w:hAnsiTheme="majorEastAsia" w:eastAsiaTheme="majorEastAsia"/>
        </w:rPr>
        <w:t>(1)</w:t>
      </w:r>
      <w:r>
        <w:rPr>
          <w:rFonts w:hint="eastAsia" w:asciiTheme="majorEastAsia" w:hAnsiTheme="majorEastAsia" w:eastAsiaTheme="majorEastAsia"/>
        </w:rPr>
        <w:t>の期間後２箇月間の見込売上高　　　　　　　　　　　</w:t>
      </w:r>
      <w:r>
        <w:rPr>
          <w:rFonts w:hint="eastAsia" w:asciiTheme="majorEastAsia" w:hAnsiTheme="majorEastAsia" w:eastAsiaTheme="majorEastAsia"/>
        </w:rPr>
        <w:t xml:space="preserve"> </w:t>
      </w:r>
      <w:r>
        <w:rPr>
          <w:rFonts w:hint="eastAsia" w:asciiTheme="majorEastAsia" w:hAnsiTheme="majorEastAsia" w:eastAsiaTheme="majorEastAsia"/>
        </w:rPr>
        <w:t>（単位：千円）　</w:t>
      </w:r>
    </w:p>
    <w:tbl>
      <w:tblPr>
        <w:tblStyle w:val="19"/>
        <w:tblW w:w="8506" w:type="dxa"/>
        <w:tblInd w:w="420" w:type="dxa"/>
        <w:tblLayout w:type="fixed"/>
        <w:tblLook w:firstRow="1" w:lastRow="0" w:firstColumn="1" w:lastColumn="0" w:noHBand="0" w:noVBand="1" w:val="04A0"/>
      </w:tblPr>
      <w:tblGrid>
        <w:gridCol w:w="2269"/>
        <w:gridCol w:w="2097"/>
        <w:gridCol w:w="2126"/>
        <w:gridCol w:w="2014"/>
      </w:tblGrid>
      <w:tr>
        <w:trPr>
          <w:trHeight w:val="232" w:hRule="atLeast"/>
        </w:trPr>
        <w:tc>
          <w:tcPr>
            <w:tcW w:w="2269" w:type="dxa"/>
            <w:vMerge w:val="restart"/>
            <w:vAlign w:val="top"/>
          </w:tcPr>
          <w:p>
            <w:pPr>
              <w:pStyle w:val="0"/>
              <w:widowControl w:val="1"/>
              <w:spacing w:line="360" w:lineRule="auto"/>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今後２箇月の売上高（見込）</w:t>
            </w:r>
          </w:p>
        </w:tc>
        <w:tc>
          <w:tcPr>
            <w:tcW w:w="2097" w:type="dxa"/>
            <w:vAlign w:val="top"/>
          </w:tcPr>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年　　　月</w:t>
            </w:r>
          </w:p>
        </w:tc>
        <w:tc>
          <w:tcPr>
            <w:tcW w:w="2126" w:type="dxa"/>
            <w:vAlign w:val="top"/>
          </w:tcPr>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年　　　月</w:t>
            </w:r>
          </w:p>
        </w:tc>
        <w:tc>
          <w:tcPr>
            <w:tcW w:w="2014" w:type="dxa"/>
            <w:vAlign w:val="top"/>
          </w:tcPr>
          <w:p>
            <w:pPr>
              <w:pStyle w:val="0"/>
              <w:widowControl w:val="1"/>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２箇月間の合計</w:t>
            </w:r>
          </w:p>
        </w:tc>
      </w:tr>
      <w:tr>
        <w:trPr>
          <w:trHeight w:val="364" w:hRule="atLeast"/>
        </w:trPr>
        <w:tc>
          <w:tcPr>
            <w:tcW w:w="2269" w:type="dxa"/>
            <w:vMerge w:val="continue"/>
            <w:vAlign w:val="top"/>
          </w:tcPr>
          <w:p>
            <w:pPr>
              <w:pStyle w:val="0"/>
              <w:widowControl w:val="1"/>
              <w:jc w:val="left"/>
              <w:rPr>
                <w:rFonts w:hint="default" w:asciiTheme="majorEastAsia" w:hAnsiTheme="majorEastAsia" w:eastAsiaTheme="majorEastAsia"/>
                <w:color w:val="000000"/>
                <w:kern w:val="0"/>
              </w:rPr>
            </w:pPr>
          </w:p>
        </w:tc>
        <w:tc>
          <w:tcPr>
            <w:tcW w:w="2097"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w:t>
            </w:r>
          </w:p>
        </w:tc>
        <w:tc>
          <w:tcPr>
            <w:tcW w:w="2126"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w:t>
            </w:r>
          </w:p>
        </w:tc>
        <w:tc>
          <w:tcPr>
            <w:tcW w:w="2014"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千円【Ｃ】</w:t>
            </w:r>
          </w:p>
        </w:tc>
      </w:tr>
      <w:tr>
        <w:trPr>
          <w:trHeight w:val="364" w:hRule="atLeast"/>
        </w:trPr>
        <w:tc>
          <w:tcPr>
            <w:tcW w:w="2269" w:type="dxa"/>
            <w:vMerge w:val="continue"/>
            <w:vAlign w:val="top"/>
          </w:tcPr>
          <w:p>
            <w:pPr>
              <w:pStyle w:val="0"/>
              <w:widowControl w:val="1"/>
              <w:jc w:val="left"/>
              <w:rPr>
                <w:rFonts w:hint="default" w:asciiTheme="majorEastAsia" w:hAnsiTheme="majorEastAsia" w:eastAsiaTheme="majorEastAsia"/>
                <w:color w:val="000000"/>
                <w:kern w:val="0"/>
              </w:rPr>
            </w:pPr>
          </w:p>
        </w:tc>
        <w:tc>
          <w:tcPr>
            <w:tcW w:w="2097" w:type="dxa"/>
            <w:vMerge w:val="continue"/>
            <w:vAlign w:val="top"/>
          </w:tcPr>
          <w:p>
            <w:pPr>
              <w:pStyle w:val="0"/>
              <w:widowControl w:val="1"/>
              <w:jc w:val="left"/>
              <w:rPr>
                <w:rFonts w:hint="default" w:asciiTheme="majorEastAsia" w:hAnsiTheme="majorEastAsia" w:eastAsiaTheme="majorEastAsia"/>
                <w:color w:val="000000"/>
                <w:kern w:val="0"/>
              </w:rPr>
            </w:pPr>
          </w:p>
        </w:tc>
        <w:tc>
          <w:tcPr>
            <w:tcW w:w="2126" w:type="dxa"/>
            <w:vMerge w:val="continue"/>
            <w:vAlign w:val="top"/>
          </w:tcPr>
          <w:p>
            <w:pPr>
              <w:pStyle w:val="0"/>
              <w:widowControl w:val="1"/>
              <w:jc w:val="left"/>
              <w:rPr>
                <w:rFonts w:hint="default" w:asciiTheme="majorEastAsia" w:hAnsiTheme="majorEastAsia" w:eastAsiaTheme="majorEastAsia"/>
                <w:color w:val="000000"/>
                <w:kern w:val="0"/>
              </w:rPr>
            </w:pPr>
          </w:p>
        </w:tc>
        <w:tc>
          <w:tcPr>
            <w:tcW w:w="2014" w:type="dxa"/>
            <w:vMerge w:val="continue"/>
            <w:vAlign w:val="top"/>
          </w:tcPr>
          <w:p>
            <w:pPr>
              <w:pStyle w:val="0"/>
              <w:widowControl w:val="1"/>
              <w:jc w:val="left"/>
              <w:rPr>
                <w:rFonts w:hint="default" w:asciiTheme="majorEastAsia" w:hAnsiTheme="majorEastAsia" w:eastAsiaTheme="majorEastAsia"/>
                <w:color w:val="000000"/>
                <w:kern w:val="0"/>
              </w:rPr>
            </w:pPr>
          </w:p>
        </w:tc>
      </w:tr>
    </w:tbl>
    <w:p>
      <w:pPr>
        <w:pStyle w:val="0"/>
        <w:ind w:left="420"/>
        <w:rPr>
          <w:rFonts w:hint="default" w:asciiTheme="majorEastAsia" w:hAnsiTheme="majorEastAsia" w:eastAsiaTheme="majorEastAsia"/>
        </w:rPr>
      </w:pPr>
    </w:p>
    <w:p>
      <w:pPr>
        <w:pStyle w:val="0"/>
        <w:numPr>
          <w:ilvl w:val="0"/>
          <w:numId w:val="2"/>
        </w:numPr>
        <w:jc w:val="left"/>
        <w:rPr>
          <w:rFonts w:hint="default" w:asciiTheme="majorEastAsia" w:hAnsiTheme="majorEastAsia" w:eastAsiaTheme="majorEastAsia"/>
        </w:rPr>
      </w:pPr>
      <w:r>
        <w:rPr>
          <w:rFonts w:hint="eastAsia" w:asciiTheme="majorEastAsia" w:hAnsiTheme="majorEastAsia" w:eastAsiaTheme="majorEastAsia"/>
        </w:rPr>
        <w:t>上記の期間に対応する前年２箇月間の売上高　　　　　　　　　（単位：千円）</w:t>
      </w:r>
    </w:p>
    <w:tbl>
      <w:tblPr>
        <w:tblStyle w:val="19"/>
        <w:tblW w:w="8506" w:type="dxa"/>
        <w:tblInd w:w="420" w:type="dxa"/>
        <w:tblLayout w:type="fixed"/>
        <w:tblLook w:firstRow="1" w:lastRow="0" w:firstColumn="1" w:lastColumn="0" w:noHBand="0" w:noVBand="1" w:val="04A0"/>
      </w:tblPr>
      <w:tblGrid>
        <w:gridCol w:w="2269"/>
        <w:gridCol w:w="2097"/>
        <w:gridCol w:w="2126"/>
        <w:gridCol w:w="2014"/>
      </w:tblGrid>
      <w:tr>
        <w:trPr>
          <w:trHeight w:val="232" w:hRule="atLeast"/>
        </w:trPr>
        <w:tc>
          <w:tcPr>
            <w:tcW w:w="2269" w:type="dxa"/>
            <w:vMerge w:val="restart"/>
            <w:vAlign w:val="top"/>
          </w:tcPr>
          <w:p>
            <w:pPr>
              <w:pStyle w:val="0"/>
              <w:widowControl w:val="1"/>
              <w:spacing w:line="360" w:lineRule="auto"/>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前年２箇月の売上高（実績）</w:t>
            </w:r>
          </w:p>
        </w:tc>
        <w:tc>
          <w:tcPr>
            <w:tcW w:w="2097" w:type="dxa"/>
            <w:vAlign w:val="top"/>
          </w:tcPr>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年　　　月</w:t>
            </w:r>
          </w:p>
        </w:tc>
        <w:tc>
          <w:tcPr>
            <w:tcW w:w="2126" w:type="dxa"/>
            <w:vAlign w:val="top"/>
          </w:tcPr>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年　　　月</w:t>
            </w:r>
          </w:p>
        </w:tc>
        <w:tc>
          <w:tcPr>
            <w:tcW w:w="2014" w:type="dxa"/>
            <w:vAlign w:val="top"/>
          </w:tcPr>
          <w:p>
            <w:pPr>
              <w:pStyle w:val="0"/>
              <w:widowControl w:val="1"/>
              <w:jc w:val="center"/>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２箇月間の合計</w:t>
            </w:r>
          </w:p>
        </w:tc>
      </w:tr>
      <w:tr>
        <w:trPr>
          <w:trHeight w:val="364" w:hRule="atLeast"/>
        </w:trPr>
        <w:tc>
          <w:tcPr>
            <w:tcW w:w="2269" w:type="dxa"/>
            <w:vMerge w:val="continue"/>
            <w:vAlign w:val="top"/>
          </w:tcPr>
          <w:p>
            <w:pPr>
              <w:pStyle w:val="0"/>
              <w:widowControl w:val="1"/>
              <w:jc w:val="left"/>
              <w:rPr>
                <w:rFonts w:hint="default" w:asciiTheme="majorEastAsia" w:hAnsiTheme="majorEastAsia" w:eastAsiaTheme="majorEastAsia"/>
                <w:color w:val="000000"/>
                <w:kern w:val="0"/>
              </w:rPr>
            </w:pPr>
          </w:p>
        </w:tc>
        <w:tc>
          <w:tcPr>
            <w:tcW w:w="2097"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w:t>
            </w:r>
          </w:p>
        </w:tc>
        <w:tc>
          <w:tcPr>
            <w:tcW w:w="2126"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w:t>
            </w:r>
          </w:p>
        </w:tc>
        <w:tc>
          <w:tcPr>
            <w:tcW w:w="2014" w:type="dxa"/>
            <w:vMerge w:val="restart"/>
            <w:vAlign w:val="top"/>
          </w:tcPr>
          <w:p>
            <w:pPr>
              <w:pStyle w:val="0"/>
              <w:widowControl w:val="1"/>
              <w:jc w:val="right"/>
              <w:rPr>
                <w:rFonts w:hint="default" w:asciiTheme="majorEastAsia" w:hAnsiTheme="majorEastAsia" w:eastAsiaTheme="majorEastAsia"/>
                <w:color w:val="000000"/>
                <w:kern w:val="0"/>
              </w:rPr>
            </w:pPr>
          </w:p>
          <w:p>
            <w:pPr>
              <w:pStyle w:val="0"/>
              <w:widowControl w:val="1"/>
              <w:jc w:val="right"/>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千円【Ｄ】</w:t>
            </w:r>
          </w:p>
        </w:tc>
      </w:tr>
      <w:tr>
        <w:trPr>
          <w:trHeight w:val="364" w:hRule="atLeast"/>
        </w:trPr>
        <w:tc>
          <w:tcPr>
            <w:tcW w:w="2269" w:type="dxa"/>
            <w:vMerge w:val="continue"/>
            <w:vAlign w:val="top"/>
          </w:tcPr>
          <w:p>
            <w:pPr>
              <w:pStyle w:val="0"/>
              <w:widowControl w:val="1"/>
              <w:jc w:val="left"/>
              <w:rPr>
                <w:rFonts w:hint="default" w:asciiTheme="majorEastAsia" w:hAnsiTheme="majorEastAsia" w:eastAsiaTheme="majorEastAsia"/>
                <w:color w:val="000000"/>
                <w:kern w:val="0"/>
              </w:rPr>
            </w:pPr>
          </w:p>
        </w:tc>
        <w:tc>
          <w:tcPr>
            <w:tcW w:w="2097" w:type="dxa"/>
            <w:vMerge w:val="continue"/>
            <w:vAlign w:val="top"/>
          </w:tcPr>
          <w:p>
            <w:pPr>
              <w:pStyle w:val="0"/>
              <w:widowControl w:val="1"/>
              <w:jc w:val="left"/>
              <w:rPr>
                <w:rFonts w:hint="default" w:asciiTheme="majorEastAsia" w:hAnsiTheme="majorEastAsia" w:eastAsiaTheme="majorEastAsia"/>
                <w:color w:val="000000"/>
                <w:kern w:val="0"/>
              </w:rPr>
            </w:pPr>
          </w:p>
        </w:tc>
        <w:tc>
          <w:tcPr>
            <w:tcW w:w="2126" w:type="dxa"/>
            <w:vMerge w:val="continue"/>
            <w:vAlign w:val="top"/>
          </w:tcPr>
          <w:p>
            <w:pPr>
              <w:pStyle w:val="0"/>
              <w:widowControl w:val="1"/>
              <w:jc w:val="left"/>
              <w:rPr>
                <w:rFonts w:hint="default" w:asciiTheme="majorEastAsia" w:hAnsiTheme="majorEastAsia" w:eastAsiaTheme="majorEastAsia"/>
                <w:color w:val="000000"/>
                <w:kern w:val="0"/>
              </w:rPr>
            </w:pPr>
          </w:p>
        </w:tc>
        <w:tc>
          <w:tcPr>
            <w:tcW w:w="2014" w:type="dxa"/>
            <w:vMerge w:val="continue"/>
            <w:vAlign w:val="top"/>
          </w:tcPr>
          <w:p>
            <w:pPr>
              <w:pStyle w:val="0"/>
              <w:widowControl w:val="1"/>
              <w:jc w:val="left"/>
              <w:rPr>
                <w:rFonts w:hint="default" w:asciiTheme="majorEastAsia" w:hAnsiTheme="majorEastAsia" w:eastAsiaTheme="majorEastAsia"/>
                <w:color w:val="000000"/>
                <w:kern w:val="0"/>
              </w:rPr>
            </w:pPr>
          </w:p>
        </w:tc>
      </w:tr>
    </w:tbl>
    <w:p>
      <w:pPr>
        <w:pStyle w:val="0"/>
        <w:ind w:left="420"/>
        <w:rPr>
          <w:rFonts w:hint="default" w:asciiTheme="majorEastAsia" w:hAnsiTheme="majorEastAsia" w:eastAsiaTheme="majorEastAsia"/>
        </w:rPr>
      </w:pPr>
    </w:p>
    <w:p>
      <w:pPr>
        <w:pStyle w:val="0"/>
        <w:numPr>
          <w:ilvl w:val="0"/>
          <w:numId w:val="2"/>
        </w:numPr>
        <w:rPr>
          <w:rFonts w:hint="default" w:asciiTheme="majorEastAsia" w:hAnsiTheme="majorEastAsia" w:eastAsiaTheme="majorEastAsia"/>
        </w:rPr>
      </w:pPr>
      <w:r>
        <w:rPr>
          <w:rFonts w:hint="eastAsia" w:asciiTheme="majorEastAsia" w:hAnsiTheme="majorEastAsia" w:eastAsiaTheme="majorEastAsia"/>
        </w:rPr>
        <w:t>最近３箇月間の売上高等の実績見込み減少率</w:t>
      </w:r>
    </w:p>
    <w:p>
      <w:pPr>
        <w:pStyle w:val="0"/>
        <w:spacing w:line="360" w:lineRule="auto"/>
        <w:ind w:left="420" w:firstLine="227" w:firstLineChars="100"/>
        <w:rPr>
          <w:rFonts w:hint="default" w:asciiTheme="majorEastAsia" w:hAnsiTheme="majorEastAsia" w:eastAsiaTheme="majorEastAsia"/>
        </w:rPr>
      </w:pPr>
      <w:r>
        <w:rPr>
          <w:rFonts w:hint="eastAsia" w:asciiTheme="majorEastAsia" w:hAnsiTheme="majorEastAsia" w:eastAsiaTheme="majorEastAsia"/>
        </w:rPr>
        <w:t>Ａ＋Ｃ＝</w:t>
      </w:r>
      <w:r>
        <w:rPr>
          <w:rFonts w:hint="eastAsia" w:asciiTheme="majorEastAsia" w:hAnsiTheme="majorEastAsia" w:eastAsiaTheme="majorEastAsia"/>
          <w:u w:val="single" w:color="auto"/>
        </w:rPr>
        <w:t>　　　　　　　千円（本年度売上高）</w:t>
      </w:r>
    </w:p>
    <w:p>
      <w:pPr>
        <w:pStyle w:val="0"/>
        <w:spacing w:line="360" w:lineRule="auto"/>
        <w:ind w:firstLine="680" w:firstLineChars="300"/>
        <w:rPr>
          <w:rFonts w:hint="default" w:asciiTheme="majorEastAsia" w:hAnsiTheme="majorEastAsia" w:eastAsiaTheme="majorEastAsia"/>
        </w:rPr>
      </w:pPr>
      <w:r>
        <w:rPr>
          <w:rFonts w:hint="eastAsia" w:asciiTheme="majorEastAsia" w:hAnsiTheme="majorEastAsia" w:eastAsiaTheme="majorEastAsia"/>
        </w:rPr>
        <w:t>Ｂ＋Ｄ＝</w:t>
      </w:r>
      <w:r>
        <w:rPr>
          <w:rFonts w:hint="eastAsia" w:asciiTheme="majorEastAsia" w:hAnsiTheme="majorEastAsia" w:eastAsiaTheme="majorEastAsia"/>
          <w:u w:val="single" w:color="auto"/>
        </w:rPr>
        <w:t>　　　　　　　千円（前年度売上高）</w:t>
      </w:r>
    </w:p>
    <w:p>
      <w:pPr>
        <w:pStyle w:val="0"/>
        <w:ind w:firstLine="680" w:firstLineChars="30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（Ｂ＋Ｄ）－（Ａ＋Ｃ）</w:t>
      </w:r>
      <w:r>
        <w:rPr>
          <w:rFonts w:hint="default" w:asciiTheme="majorEastAsia" w:hAnsiTheme="majorEastAsia" w:eastAsiaTheme="majorEastAsia"/>
        </w:rPr>
        <w:t>}</w:t>
      </w:r>
      <w:r>
        <w:rPr>
          <w:rFonts w:hint="eastAsia" w:asciiTheme="majorEastAsia" w:hAnsiTheme="majorEastAsia" w:eastAsiaTheme="majorEastAsia"/>
        </w:rPr>
        <w:t>÷（Ｂ＋Ｄ）×</w:t>
      </w:r>
      <w:r>
        <w:rPr>
          <w:rFonts w:hint="default" w:asciiTheme="majorEastAsia" w:hAnsiTheme="majorEastAsia" w:eastAsiaTheme="majorEastAsia"/>
        </w:rPr>
        <w:t xml:space="preserve"> </w:t>
      </w:r>
      <w:r>
        <w:rPr>
          <w:rFonts w:hint="eastAsia" w:asciiTheme="majorEastAsia" w:hAnsiTheme="majorEastAsia" w:eastAsiaTheme="majorEastAsia"/>
        </w:rPr>
        <w:t>１００＝</w:t>
      </w:r>
      <w:r>
        <w:rPr>
          <w:rFonts w:hint="eastAsia" w:asciiTheme="majorEastAsia" w:hAnsiTheme="majorEastAsia" w:eastAsiaTheme="majorEastAsia"/>
          <w:u w:val="single" w:color="auto"/>
        </w:rPr>
        <w:t>　　　　　％</w:t>
      </w:r>
      <w:r>
        <w:rPr>
          <w:rFonts w:hint="eastAsia" w:asciiTheme="majorEastAsia" w:hAnsiTheme="majorEastAsia" w:eastAsiaTheme="majorEastAsia"/>
        </w:rPr>
        <w:t>≧２０．０％</w:t>
      </w:r>
    </w:p>
    <w:p>
      <w:pPr>
        <w:pStyle w:val="0"/>
        <w:rPr>
          <w:rFonts w:hint="default" w:asciiTheme="majorEastAsia" w:hAnsiTheme="majorEastAsia" w:eastAsiaTheme="majorEastAsia"/>
        </w:rPr>
      </w:pPr>
    </w:p>
    <w:sectPr>
      <w:type w:val="continuous"/>
      <w:pgSz w:w="11906" w:h="16838"/>
      <w:pgMar w:top="1134" w:right="1418" w:bottom="1134" w:left="1418" w:header="720" w:footer="720" w:gutter="0"/>
      <w:cols w:space="720"/>
      <w:textDirection w:val="lrTb"/>
      <w:docGrid w:type="linesAndChars" w:linePitch="36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5EE0096"/>
    <w:lvl w:ilvl="0" w:tplc="97F65AA4">
      <w:start w:val="1"/>
      <w:numFmt w:val="decimalFullWidth"/>
      <w:lvlText w:val="%1．"/>
      <w:lvlJc w:val="left"/>
      <w:pPr>
        <w:ind w:left="420" w:hanging="420"/>
      </w:pPr>
      <w:rPr>
        <w:rFonts w:hint="default"/>
      </w:rPr>
    </w:lvl>
    <w:lvl w:ilvl="1" w:tplc="B5E6CBAA">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D300454"/>
    <w:lvl w:ilvl="0" w:tplc="B5E6CBAA">
      <w:start w:val="1"/>
      <w:numFmt w:val="decimal"/>
      <w:lvlText w:val="(%1)"/>
      <w:lvlJc w:val="left"/>
      <w:pPr>
        <w:ind w:left="78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 (格子)1"/>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118</Words>
  <Characters>673</Characters>
  <Application>JUST Note</Application>
  <Lines>5</Lines>
  <Paragraphs>1</Paragraphs>
  <Company>Toshiba</Company>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静史</dc:creator>
  <cp:lastModifiedBy>吉原（大崎町役場）</cp:lastModifiedBy>
  <cp:lastPrinted>2020-03-06T05:06:44Z</cp:lastPrinted>
  <dcterms:created xsi:type="dcterms:W3CDTF">2020-03-06T05:06:00Z</dcterms:created>
  <dcterms:modified xsi:type="dcterms:W3CDTF">2023-05-25T08:19:14Z</dcterms:modified>
  <cp:revision>10</cp:revision>
</cp:coreProperties>
</file>